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2B72" w14:textId="7D93BA4E" w:rsidR="000F2E77" w:rsidRPr="001579FB" w:rsidRDefault="000F2E77" w:rsidP="001579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A1A1A"/>
          <w:kern w:val="36"/>
          <w:sz w:val="44"/>
          <w:szCs w:val="48"/>
          <w:lang w:eastAsia="ru-RU"/>
        </w:rPr>
      </w:pPr>
      <w:r w:rsidRPr="001579FB">
        <w:rPr>
          <w:rFonts w:ascii="Arial" w:eastAsia="Times New Roman" w:hAnsi="Arial" w:cs="Arial"/>
          <w:b/>
          <w:bCs/>
          <w:caps/>
          <w:color w:val="1A1A1A"/>
          <w:kern w:val="36"/>
          <w:sz w:val="44"/>
          <w:szCs w:val="48"/>
          <w:lang w:eastAsia="ru-RU"/>
        </w:rPr>
        <w:t>ОЦЕНКА СРЕДНЕГО ВРЕМЕНИ НАРАБОТКИ НА ОТКАЗ ГЕНЕРАТОРОВ ANAPICO RFSG. (MTBF)</w:t>
      </w:r>
    </w:p>
    <w:p w14:paraId="00DAC959" w14:textId="77777777" w:rsidR="000F2E77" w:rsidRPr="001579FB" w:rsidRDefault="000F2E77" w:rsidP="000F2E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2"/>
          <w:szCs w:val="36"/>
          <w:lang w:eastAsia="ru-RU"/>
        </w:rPr>
      </w:pPr>
      <w:r w:rsidRPr="001579FB">
        <w:rPr>
          <w:rFonts w:ascii="Arial" w:eastAsia="Times New Roman" w:hAnsi="Arial" w:cs="Arial"/>
          <w:color w:val="1A1A1A"/>
          <w:sz w:val="32"/>
          <w:szCs w:val="36"/>
          <w:lang w:eastAsia="ru-RU"/>
        </w:rPr>
        <w:t>Выбор метода оценки времени наработки на отказ (MTBF)</w:t>
      </w:r>
    </w:p>
    <w:p w14:paraId="77D3C783" w14:textId="77777777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десятки методов, используемых в различных отраслях промышленности для оценки значений времени наработки на отказ различных продуктов. В электронной промышленности в основном представлены следующие методы:</w:t>
      </w:r>
    </w:p>
    <w:p w14:paraId="1299D664" w14:textId="3B055C7F" w:rsidR="000F2E77" w:rsidRPr="000F2E77" w:rsidRDefault="000F2E77" w:rsidP="00157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расчет времени наработки на отказ на основе конструкции системы и топологии. Этот метод обычно выполняется на ранних стадиях жизненного цикла продукта, чтобы получить представление о времени наработки на отказ. Он также иногда используется, когда объем производства / поставки очень </w:t>
      </w:r>
      <w:proofErr w:type="gram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низок</w:t>
      </w:r>
      <w:r w:rsidR="00147EA8" w:rsidRPr="0015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значимой статистической оценки. Однако ключевая проблема с этим методом, является отсутствие правильного / обновле</w:t>
      </w:r>
      <w:r w:rsidR="00147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значения времени наработки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отказ для огромного количества компонентов и материалов, которые используются в п</w:t>
      </w:r>
      <w:r w:rsidR="0014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роизводимом изделии/оборудовании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14:paraId="32C28016" w14:textId="77777777" w:rsidR="000F2E77" w:rsidRPr="000F2E77" w:rsidRDefault="000F2E77" w:rsidP="00157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метод заключается в том, чтобы поставить ограниченное количество продуктов под испытания и создать так называемые ускоренные ресурсные испытания, для этих целей  используется повышение температуры окружающей среды и влажности и т.д. И опять же, проблема с таким методом оценки является неизвестное поведение продукта, тестируемого под нагрузкой, и как получить значение наработки на отказ при нормальных условиях по этим данным. На практике этот метод может быть использован только в том случае, если в определенной степени известен вышеупомянутый механизм вычисления наработки на отказ в нормальных условиях по данным работы прибора под нагрузкой.</w:t>
      </w:r>
    </w:p>
    <w:p w14:paraId="6AB8A9F3" w14:textId="77777777" w:rsidR="000F2E77" w:rsidRPr="000F2E77" w:rsidRDefault="000F2E77" w:rsidP="001579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метод основан на натуральных данных в рабочих условиях эксплуатации после того, как значительное количество продуктов было произведено и протестировано в рабочих условиях. Можно рассчитать время наработки на отказ из статистики дефектов продукта и временных интервалов до момента дефекта.</w:t>
      </w:r>
    </w:p>
    <w:p w14:paraId="495CC6F0" w14:textId="77777777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времени наработки на отказ, основанная на реальных данных, на сегодняшний день является наиболее часто используемым методом. И этот метод всегда предпочтительнее, когда доступны реальные данные, что позволяет проводить содержательный статистический анализ.</w:t>
      </w:r>
    </w:p>
    <w:p w14:paraId="0748C21A" w14:textId="043A152B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Anapico</w:t>
      </w:r>
      <w:proofErr w:type="spell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 также использует метод оценки на основе реальных данных для оценки значений времени наработки на отказ для своих основных продуктовых линеек, </w:t>
      </w:r>
      <w:r w:rsidR="0014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 СВЧ сигналов серии RFSG2, RFSG4, RFSG6, RFSG12, RFSG20, RFSG26. </w:t>
      </w:r>
    </w:p>
    <w:p w14:paraId="0D4B1BEA" w14:textId="77777777" w:rsidR="000F2E77" w:rsidRPr="001579FB" w:rsidRDefault="000F2E77" w:rsidP="000F2E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2"/>
          <w:szCs w:val="36"/>
          <w:lang w:eastAsia="ru-RU"/>
        </w:rPr>
      </w:pPr>
      <w:r w:rsidRPr="001579FB">
        <w:rPr>
          <w:rFonts w:ascii="Arial" w:eastAsia="Times New Roman" w:hAnsi="Arial" w:cs="Arial"/>
          <w:color w:val="1A1A1A"/>
          <w:sz w:val="32"/>
          <w:szCs w:val="36"/>
          <w:lang w:eastAsia="ru-RU"/>
        </w:rPr>
        <w:t>Статистика отказов RFSGXX и оценка времени наработки на отказ</w:t>
      </w:r>
    </w:p>
    <w:p w14:paraId="157AA9E4" w14:textId="594745AE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базе данных запис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даты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отгрузки каждого подразделения, включая даты отгрузки новой продукции и возвратную отгрузку отремонтированных приборов.</w:t>
      </w:r>
    </w:p>
    <w:p w14:paraId="1DD4470D" w14:textId="7A3745EB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сообщить о оценке времени наработки на отказ без привлечения слишком большого количества полевых данных, которые в определенной степени являются конфиденциальными, использ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упрощенный, но пока надежный метод оценки времени наработки на отказ, основанный на наших реальных полевых данных.</w:t>
      </w:r>
    </w:p>
    <w:p w14:paraId="73B6928A" w14:textId="159D6009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Ниже 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справочная информация о линейк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серии RFSG2, RFSG4, RFSG6, </w:t>
      </w:r>
      <w:bookmarkStart w:id="0" w:name="_GoBack"/>
      <w:bookmarkEnd w:id="0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RFSG12, RFSG20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RFSG26 и 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20A9A6" w14:textId="0D573A65" w:rsidR="000F2E77" w:rsidRPr="000F2E77" w:rsidRDefault="000F2E77" w:rsidP="00157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Anapico</w:t>
      </w:r>
      <w:proofErr w:type="spell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 разработку и начал поставлять генераторы сигналов серии </w:t>
      </w:r>
      <w:proofErr w:type="spell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RFSGxx</w:t>
      </w:r>
      <w:proofErr w:type="spell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июне 2011 года. Линейка продуктов состоит из трех основных продуктов RFSG12, RFSG20 и RFSG26 с очень небольшими конструктивными отличиями. Все три продукта доступны в различных форм-факторах, настольно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для монтажа в стойку 19 дюймов 1U. Для того, чтобы этот отчет был простым, мы не рассматриваем разницу в дизайне между продуктами и их форм-фактором для оценки MTBF.  </w:t>
      </w:r>
    </w:p>
    <w:p w14:paraId="06192657" w14:textId="082078E2" w:rsidR="000F2E77" w:rsidRPr="000F2E77" w:rsidRDefault="000F2E77" w:rsidP="00157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выборки с 1 января 2012 года по 31 декабря 2015 года, в общей сложности 4 года. Таким образом,  не учитывали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 1-й полугодовой период, так как относительно низкий объем поставок в период наращивания сбыта может исказить статистический расчет время наработки на отказ.  </w:t>
      </w:r>
    </w:p>
    <w:p w14:paraId="0DE093B4" w14:textId="18E49C14" w:rsidR="000F2E77" w:rsidRPr="000F2E77" w:rsidRDefault="000F2E77" w:rsidP="00157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базы данных вид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общее количество поставленных единиц за 4 года составило 375, 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вернулось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единиц для ремонта.</w:t>
      </w:r>
    </w:p>
    <w:p w14:paraId="7B8F076D" w14:textId="3FF192A5" w:rsidR="000F2E77" w:rsidRPr="000F2E77" w:rsidRDefault="00160FF2" w:rsidP="00157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2E77"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F2E77"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сроки поставки новых генераторов и отремонтированных единиц равномерно распределены в течение 4 лет.  </w:t>
      </w:r>
    </w:p>
    <w:p w14:paraId="391CD2CA" w14:textId="6460C08A" w:rsidR="000F2E77" w:rsidRPr="000F2E77" w:rsidRDefault="00160FF2" w:rsidP="001579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2E77"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олагаем, что скорость использования продукта (% времени в эксплуатации) составляет 0,1. Это означает, что среднее время работы каждой единицы за рабочий день составляет около 2,4*365/220 = 4  часа.</w:t>
      </w:r>
    </w:p>
    <w:p w14:paraId="21CF6255" w14:textId="77777777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вышеизложенном, совокупные часы работы общего количества поставленных единиц в достаточном периоде:</w:t>
      </w:r>
    </w:p>
    <w:p w14:paraId="2BFC0D47" w14:textId="77777777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375*0,5*0.1*4*365*24=657 000 часов</w:t>
      </w:r>
    </w:p>
    <w:p w14:paraId="7F9631AF" w14:textId="77777777" w:rsidR="000F2E77" w:rsidRPr="000F2E77" w:rsidRDefault="000F2E77" w:rsidP="001579FB">
      <w:pPr>
        <w:spacing w:after="10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F2E77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MTBF (Время наработки на отказ) = Совокупные часы работы от общего количества поставленных единиц в выборочном периоде / Сбои в периоде выборки — 657000 / 7 = 93 857 часов.</w:t>
      </w:r>
    </w:p>
    <w:p w14:paraId="3FFCFF0F" w14:textId="6784C17A" w:rsidR="000F2E77" w:rsidRPr="000F2E77" w:rsidRDefault="000F2E77" w:rsidP="0015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есть гораздо больше аспектов, которые необходимо принимать во внимание при 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точной оценки времени наработки на отказ. Мы пренебрегли этими дополнительными аспектами, основываясь на следующих соображениях:</w:t>
      </w:r>
    </w:p>
    <w:p w14:paraId="67D1BF49" w14:textId="5A645E65" w:rsidR="000F2E77" w:rsidRPr="000F2E77" w:rsidRDefault="000F2E77" w:rsidP="001579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дефектные единицы не будут возвращены  для ремонта по разным причинам. Это правда. Но, с другой стороны, почти половина </w:t>
      </w:r>
      <w:r w:rsidR="008225C3"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</w:t>
      </w:r>
      <w:r w:rsidR="008225C3"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возвращенных 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приборах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вызвана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неправильным использован</w:t>
      </w:r>
      <w:r w:rsidR="00822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и, следовательно, не связана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надежностью продукта.  </w:t>
      </w:r>
    </w:p>
    <w:p w14:paraId="74A42F61" w14:textId="74111EB7" w:rsidR="000F2E77" w:rsidRPr="000F2E77" w:rsidRDefault="000F2E77" w:rsidP="001579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поставок и таможенного </w:t>
      </w:r>
      <w:proofErr w:type="gram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,</w:t>
      </w:r>
      <w:proofErr w:type="gram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игнориру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поскольку он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spellStart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relatively</w:t>
      </w:r>
      <w:proofErr w:type="spellEnd"/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</w:t>
      </w:r>
      <w:r w:rsidR="00160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внению с периодом отбора проб в 4 года</w:t>
      </w:r>
      <w:r w:rsidRPr="000F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A909A" w14:textId="77777777" w:rsidR="000F2E77" w:rsidRPr="001579FB" w:rsidRDefault="000F2E77" w:rsidP="000F2E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2"/>
          <w:szCs w:val="36"/>
          <w:lang w:eastAsia="ru-RU"/>
        </w:rPr>
      </w:pPr>
      <w:r w:rsidRPr="001579FB">
        <w:rPr>
          <w:rFonts w:ascii="Arial" w:eastAsia="Times New Roman" w:hAnsi="Arial" w:cs="Arial"/>
          <w:color w:val="1A1A1A"/>
          <w:sz w:val="32"/>
          <w:szCs w:val="36"/>
          <w:lang w:eastAsia="ru-RU"/>
        </w:rPr>
        <w:t>Выводы</w:t>
      </w:r>
    </w:p>
    <w:p w14:paraId="654A413B" w14:textId="30BF2F8E" w:rsidR="000F2E77" w:rsidRPr="000F2E77" w:rsidRDefault="000F2E77" w:rsidP="001579FB">
      <w:pPr>
        <w:spacing w:after="10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F2E77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Исходя из реальных полевых данных, время наработки на отказ продуктов ANAPICO RFSG2, RFSG4, RFSG6, RFSG12, RFSG20, RFSG26 оценивается в  100 тыс. часов.</w:t>
      </w:r>
    </w:p>
    <w:sectPr w:rsidR="000F2E77" w:rsidRPr="000F2E77" w:rsidSect="001579FB">
      <w:footerReference w:type="default" r:id="rId7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662D" w14:textId="77777777" w:rsidR="00CD68AA" w:rsidRDefault="00CD68AA" w:rsidP="001579FB">
      <w:pPr>
        <w:spacing w:after="0" w:line="240" w:lineRule="auto"/>
      </w:pPr>
      <w:r>
        <w:separator/>
      </w:r>
    </w:p>
  </w:endnote>
  <w:endnote w:type="continuationSeparator" w:id="0">
    <w:p w14:paraId="5A4D5963" w14:textId="77777777" w:rsidR="00CD68AA" w:rsidRDefault="00CD68AA" w:rsidP="0015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A921" w14:textId="69ACFAF6" w:rsidR="00E61D4C" w:rsidRDefault="001579FB" w:rsidP="00E61D4C">
    <w:pPr>
      <w:spacing w:after="0" w:line="240" w:lineRule="auto"/>
      <w:ind w:left="720"/>
      <w:jc w:val="right"/>
      <w:rPr>
        <w:rFonts w:ascii="Arial" w:eastAsia="Arial" w:hAnsi="Arial" w:cs="Arial"/>
        <w:i/>
        <w:iCs/>
        <w:sz w:val="18"/>
        <w:szCs w:val="18"/>
      </w:rPr>
    </w:pPr>
    <w:r w:rsidRPr="00E61D4C">
      <w:rPr>
        <w:rFonts w:ascii="Arial" w:eastAsia="Arial" w:hAnsi="Arial" w:cs="Arial"/>
        <w:i/>
        <w:iCs/>
        <w:sz w:val="18"/>
        <w:szCs w:val="18"/>
      </w:rPr>
      <w:drawing>
        <wp:anchor distT="0" distB="0" distL="114300" distR="114300" simplePos="0" relativeHeight="251658240" behindDoc="1" locked="0" layoutInCell="0" allowOverlap="1" wp14:anchorId="74D22E5C" wp14:editId="699CF642">
          <wp:simplePos x="0" y="0"/>
          <wp:positionH relativeFrom="column">
            <wp:posOffset>51187</wp:posOffset>
          </wp:positionH>
          <wp:positionV relativeFrom="paragraph">
            <wp:posOffset>-92434</wp:posOffset>
          </wp:positionV>
          <wp:extent cx="6290348" cy="47708"/>
          <wp:effectExtent l="0" t="0" r="0" b="9525"/>
          <wp:wrapNone/>
          <wp:docPr id="1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950479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1185" cy="73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D4C">
      <w:rPr>
        <w:rFonts w:ascii="Arial" w:eastAsia="Arial" w:hAnsi="Arial" w:cs="Arial"/>
        <w:i/>
        <w:iCs/>
        <w:sz w:val="18"/>
        <w:szCs w:val="18"/>
      </w:rPr>
      <w:tab/>
    </w:r>
    <w:r w:rsidR="00E61D4C" w:rsidRPr="00E61D4C">
      <w:rPr>
        <w:rFonts w:ascii="Arial" w:eastAsia="Arial" w:hAnsi="Arial" w:cs="Arial"/>
        <w:i/>
        <w:iCs/>
        <w:sz w:val="18"/>
        <w:szCs w:val="18"/>
      </w:rPr>
      <w:t>ООО</w:t>
    </w:r>
    <w:r w:rsidRPr="008A3057">
      <w:rPr>
        <w:rFonts w:ascii="Arial" w:eastAsia="Arial" w:hAnsi="Arial" w:cs="Arial"/>
        <w:i/>
        <w:iCs/>
        <w:sz w:val="18"/>
        <w:szCs w:val="18"/>
      </w:rPr>
      <w:t xml:space="preserve"> «</w:t>
    </w:r>
    <w:proofErr w:type="spellStart"/>
    <w:proofErr w:type="gramStart"/>
    <w:r w:rsidRPr="008A3057">
      <w:rPr>
        <w:rFonts w:ascii="Arial" w:eastAsia="Arial" w:hAnsi="Arial" w:cs="Arial"/>
        <w:i/>
        <w:iCs/>
        <w:sz w:val="18"/>
        <w:szCs w:val="18"/>
      </w:rPr>
      <w:t>Интермера</w:t>
    </w:r>
    <w:proofErr w:type="spellEnd"/>
    <w:r w:rsidRPr="008A3057">
      <w:rPr>
        <w:rFonts w:ascii="Arial" w:eastAsia="Arial" w:hAnsi="Arial" w:cs="Arial"/>
        <w:i/>
        <w:iCs/>
        <w:sz w:val="18"/>
        <w:szCs w:val="18"/>
      </w:rPr>
      <w:t>»  2020</w:t>
    </w:r>
    <w:proofErr w:type="gramEnd"/>
    <w:r w:rsidRPr="008A3057">
      <w:rPr>
        <w:rFonts w:ascii="Arial" w:eastAsia="Arial" w:hAnsi="Arial" w:cs="Arial"/>
        <w:i/>
        <w:iCs/>
        <w:sz w:val="18"/>
        <w:szCs w:val="18"/>
      </w:rPr>
      <w:t>г.</w:t>
    </w:r>
  </w:p>
  <w:p w14:paraId="0AAFEA52" w14:textId="6C2B55F7" w:rsidR="00E61D4C" w:rsidRPr="00E61D4C" w:rsidRDefault="00E61D4C" w:rsidP="00E61D4C">
    <w:pPr>
      <w:spacing w:after="0" w:line="240" w:lineRule="auto"/>
      <w:ind w:left="720"/>
      <w:jc w:val="right"/>
      <w:rPr>
        <w:rFonts w:ascii="Arial" w:eastAsia="Arial" w:hAnsi="Arial" w:cs="Arial"/>
        <w:i/>
        <w:iCs/>
        <w:sz w:val="18"/>
        <w:szCs w:val="18"/>
      </w:rPr>
    </w:pPr>
    <w:hyperlink r:id="rId2" w:history="1"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www</w:t>
      </w:r>
      <w:r w:rsidRPr="00E61D4C">
        <w:rPr>
          <w:rStyle w:val="a3"/>
          <w:rFonts w:ascii="Arial" w:eastAsia="Arial" w:hAnsi="Arial" w:cs="Arial"/>
          <w:i/>
          <w:iCs/>
          <w:sz w:val="18"/>
          <w:szCs w:val="18"/>
        </w:rPr>
        <w:t>.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intermera</w:t>
      </w:r>
      <w:r w:rsidRPr="00E61D4C">
        <w:rPr>
          <w:rStyle w:val="a3"/>
          <w:rFonts w:ascii="Arial" w:eastAsia="Arial" w:hAnsi="Arial" w:cs="Arial"/>
          <w:i/>
          <w:iCs/>
          <w:sz w:val="18"/>
          <w:szCs w:val="18"/>
        </w:rPr>
        <w:t>.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ru</w:t>
      </w:r>
    </w:hyperlink>
    <w:r w:rsidRPr="00E61D4C">
      <w:rPr>
        <w:rFonts w:ascii="Arial" w:eastAsia="Arial" w:hAnsi="Arial" w:cs="Arial"/>
        <w:i/>
        <w:iCs/>
        <w:sz w:val="18"/>
        <w:szCs w:val="18"/>
      </w:rPr>
      <w:t xml:space="preserve">, </w:t>
    </w:r>
    <w:hyperlink r:id="rId3" w:history="1"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www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</w:rPr>
        <w:t>.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pribor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</w:rPr>
        <w:t>4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test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</w:rPr>
        <w:t>.</w:t>
      </w:r>
      <w:r w:rsidRPr="007F5A7C">
        <w:rPr>
          <w:rStyle w:val="a3"/>
          <w:rFonts w:ascii="Arial" w:eastAsia="Arial" w:hAnsi="Arial" w:cs="Arial"/>
          <w:i/>
          <w:iCs/>
          <w:sz w:val="18"/>
          <w:szCs w:val="18"/>
          <w:lang w:val="en-US"/>
        </w:rPr>
        <w:t>ru</w:t>
      </w:r>
    </w:hyperlink>
  </w:p>
  <w:p w14:paraId="1067AFDB" w14:textId="0888B288" w:rsidR="001579FB" w:rsidRPr="00E40B90" w:rsidRDefault="00E61D4C" w:rsidP="00E61D4C">
    <w:pPr>
      <w:spacing w:after="0" w:line="240" w:lineRule="auto"/>
      <w:ind w:left="720"/>
      <w:jc w:val="right"/>
      <w:rPr>
        <w:rFonts w:ascii="Arial" w:eastAsia="Arial" w:hAnsi="Arial" w:cs="Arial"/>
        <w:color w:val="0000FF"/>
        <w:sz w:val="19"/>
        <w:szCs w:val="19"/>
        <w:u w:val="single"/>
      </w:rPr>
    </w:pPr>
    <w:r>
      <w:rPr>
        <w:rFonts w:ascii="Arial" w:eastAsia="Arial" w:hAnsi="Arial" w:cs="Arial"/>
        <w:i/>
        <w:iCs/>
        <w:sz w:val="18"/>
        <w:szCs w:val="18"/>
        <w:lang w:val="en-US"/>
      </w:rPr>
      <w:t>(495) 941-04-34</w:t>
    </w:r>
    <w:r w:rsidR="001579FB" w:rsidRPr="008A3057">
      <w:rPr>
        <w:rFonts w:ascii="Arial" w:eastAsia="Arial" w:hAnsi="Arial" w:cs="Arial"/>
        <w:i/>
        <w:iCs/>
        <w:sz w:val="18"/>
        <w:szCs w:val="18"/>
      </w:rPr>
      <w:t xml:space="preserve"> </w:t>
    </w:r>
  </w:p>
  <w:p w14:paraId="3F8392D6" w14:textId="77777777" w:rsidR="001579FB" w:rsidRDefault="001579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5DB9" w14:textId="77777777" w:rsidR="00CD68AA" w:rsidRDefault="00CD68AA" w:rsidP="001579FB">
      <w:pPr>
        <w:spacing w:after="0" w:line="240" w:lineRule="auto"/>
      </w:pPr>
      <w:r>
        <w:separator/>
      </w:r>
    </w:p>
  </w:footnote>
  <w:footnote w:type="continuationSeparator" w:id="0">
    <w:p w14:paraId="420FDF80" w14:textId="77777777" w:rsidR="00CD68AA" w:rsidRDefault="00CD68AA" w:rsidP="0015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31F4"/>
    <w:multiLevelType w:val="multilevel"/>
    <w:tmpl w:val="310E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FB0"/>
    <w:multiLevelType w:val="multilevel"/>
    <w:tmpl w:val="E5E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93BC0"/>
    <w:multiLevelType w:val="multilevel"/>
    <w:tmpl w:val="F28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80F45"/>
    <w:multiLevelType w:val="multilevel"/>
    <w:tmpl w:val="F82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968CA"/>
    <w:multiLevelType w:val="multilevel"/>
    <w:tmpl w:val="C17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77"/>
    <w:rsid w:val="00052EA6"/>
    <w:rsid w:val="000F2E77"/>
    <w:rsid w:val="00147EA8"/>
    <w:rsid w:val="001579FB"/>
    <w:rsid w:val="00160FF2"/>
    <w:rsid w:val="0023527B"/>
    <w:rsid w:val="0027730B"/>
    <w:rsid w:val="00395437"/>
    <w:rsid w:val="003E4AA5"/>
    <w:rsid w:val="008225C3"/>
    <w:rsid w:val="00B21569"/>
    <w:rsid w:val="00CD68AA"/>
    <w:rsid w:val="00E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BAED"/>
  <w15:docId w15:val="{8F14BF4D-02DB-4F2F-A6BB-8360ECD4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-breadcrumbs-item">
    <w:name w:val="g-breadcrumbs-item"/>
    <w:basedOn w:val="a"/>
    <w:rsid w:val="000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2E77"/>
    <w:rPr>
      <w:color w:val="0000FF"/>
      <w:u w:val="single"/>
    </w:rPr>
  </w:style>
  <w:style w:type="paragraph" w:customStyle="1" w:styleId="g-breadcrumbs-separator">
    <w:name w:val="g-breadcrumbs-separator"/>
    <w:basedOn w:val="a"/>
    <w:rsid w:val="000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E77"/>
    <w:rPr>
      <w:b/>
      <w:bCs/>
    </w:rPr>
  </w:style>
  <w:style w:type="paragraph" w:customStyle="1" w:styleId="wc-block-gridproduct">
    <w:name w:val="wc-block-grid__product"/>
    <w:basedOn w:val="a"/>
    <w:rsid w:val="000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spricecode">
    <w:name w:val="woocs_price_code"/>
    <w:basedOn w:val="a0"/>
    <w:rsid w:val="000F2E77"/>
  </w:style>
  <w:style w:type="paragraph" w:styleId="a6">
    <w:name w:val="Balloon Text"/>
    <w:basedOn w:val="a"/>
    <w:link w:val="a7"/>
    <w:uiPriority w:val="99"/>
    <w:semiHidden/>
    <w:unhideWhenUsed/>
    <w:rsid w:val="0039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4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79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9FB"/>
  </w:style>
  <w:style w:type="paragraph" w:styleId="aa">
    <w:name w:val="footer"/>
    <w:basedOn w:val="a"/>
    <w:link w:val="ab"/>
    <w:uiPriority w:val="99"/>
    <w:unhideWhenUsed/>
    <w:rsid w:val="001579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9FB"/>
  </w:style>
  <w:style w:type="character" w:styleId="ac">
    <w:name w:val="Unresolved Mention"/>
    <w:basedOn w:val="a0"/>
    <w:uiPriority w:val="99"/>
    <w:semiHidden/>
    <w:unhideWhenUsed/>
    <w:rsid w:val="00E6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904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4719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9095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78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11146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7858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8614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8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94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2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0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bor4test.ru" TargetMode="External"/><Relationship Id="rId2" Type="http://schemas.openxmlformats.org/officeDocument/2006/relationships/hyperlink" Target="http://www.interme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Бабаш</dc:creator>
  <cp:lastModifiedBy>Глазова Гелена Евгеньевна</cp:lastModifiedBy>
  <cp:revision>2</cp:revision>
  <dcterms:created xsi:type="dcterms:W3CDTF">2020-07-13T12:50:00Z</dcterms:created>
  <dcterms:modified xsi:type="dcterms:W3CDTF">2020-07-13T12:50:00Z</dcterms:modified>
</cp:coreProperties>
</file>